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Data Profiling &amp; Cleansing Guide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Pre-migration data profiling, cleansing methodologies, and Reltio readiness assessment</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Data Profiling &amp; Cleansing Guide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03 — Data Quality</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DQ-002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Data profiling and cleansing are the most underestimated and most consequential steps in any MDM implementation. Poor source data quality cascades into match failures, stewardship backlogs, and business distrust. This guide provides a structured approach to profiling source data, prioritizing cleansing activities, and measuring data readiness for Reltio migration. Mastech Digital's proven Assess → Cleanse → Validate methodology is applied across all customer and supplier MDM engagements.</w:t>
      </w:r>
    </w:p>
    <w:p/>
    <w:p>
      <w:pPr>
        <w:pStyle w:val="Heading1"/>
      </w:pPr>
      <w:r>
        <w:t>Table of Contents</w:t>
      </w:r>
    </w:p>
    <w:p>
      <w:pPr>
        <w:spacing w:after="60"/>
      </w:pPr>
      <w:r>
        <w:rPr>
          <w:color w:val="0C548A"/>
          <w:sz w:val="22"/>
        </w:rPr>
        <w:t>1.0  Profiling Methodology</w:t>
      </w:r>
    </w:p>
    <w:p>
      <w:pPr>
        <w:spacing w:after="60"/>
      </w:pPr>
      <w:r>
        <w:rPr>
          <w:color w:val="0C548A"/>
          <w:sz w:val="22"/>
        </w:rPr>
        <w:t>2.0  Profiling Dimensions</w:t>
      </w:r>
    </w:p>
    <w:p>
      <w:pPr>
        <w:spacing w:after="60"/>
      </w:pPr>
      <w:r>
        <w:rPr>
          <w:color w:val="0C548A"/>
          <w:sz w:val="22"/>
        </w:rPr>
        <w:t>3.0  Cleansing Strategy</w:t>
      </w:r>
    </w:p>
    <w:p>
      <w:pPr>
        <w:spacing w:after="60"/>
      </w:pPr>
      <w:r>
        <w:rPr>
          <w:color w:val="0C548A"/>
          <w:sz w:val="22"/>
        </w:rPr>
        <w:t>4.0  Reltio-Specific Readiness</w:t>
      </w:r>
    </w:p>
    <w:p>
      <w:pPr>
        <w:spacing w:after="60"/>
      </w:pPr>
      <w:r>
        <w:rPr>
          <w:color w:val="0C548A"/>
          <w:sz w:val="22"/>
        </w:rPr>
        <w:t>5.0  Cleansing Tools &amp; Patterns</w:t>
      </w:r>
    </w:p>
    <w:p>
      <w:pPr>
        <w:spacing w:after="60"/>
      </w:pPr>
      <w:r>
        <w:rPr>
          <w:color w:val="0C548A"/>
          <w:sz w:val="22"/>
        </w:rPr>
        <w:t>6.0  Data Readiness Certification</w:t>
      </w:r>
    </w:p>
    <w:p>
      <w:r>
        <w:br w:type="page"/>
      </w:r>
    </w:p>
    <w:p>
      <w:pPr>
        <w:pStyle w:val="Heading1"/>
      </w:pPr>
      <w:r>
        <w:t>1. Profiling Methodology</w:t>
      </w:r>
    </w:p>
    <w:p>
      <w:pPr>
        <w:pStyle w:val="Heading2"/>
      </w:pPr>
      <w:r>
        <w:t>1.1 Assess → Cleanse → Validate Framework</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Phase</w:t>
            </w:r>
          </w:p>
        </w:tc>
        <w:tc>
          <w:tcPr>
            <w:tcW w:type="dxa" w:w="2340"/>
            <w:shd w:fill="0C548A" w:val="clear"/>
          </w:tcPr>
          <w:p>
            <w:r>
              <w:rPr>
                <w:b/>
                <w:color w:val="FFFFFF"/>
                <w:sz w:val="20"/>
              </w:rPr>
              <w:t>Activities</w:t>
            </w:r>
          </w:p>
        </w:tc>
        <w:tc>
          <w:tcPr>
            <w:tcW w:type="dxa" w:w="2340"/>
            <w:shd w:fill="0C548A" w:val="clear"/>
          </w:tcPr>
          <w:p>
            <w:r>
              <w:rPr>
                <w:b/>
                <w:color w:val="FFFFFF"/>
                <w:sz w:val="20"/>
              </w:rPr>
              <w:t>Outputs</w:t>
            </w:r>
          </w:p>
        </w:tc>
        <w:tc>
          <w:tcPr>
            <w:tcW w:type="dxa" w:w="2340"/>
            <w:shd w:fill="0C548A" w:val="clear"/>
          </w:tcPr>
          <w:p>
            <w:r>
              <w:rPr>
                <w:b/>
                <w:color w:val="FFFFFF"/>
                <w:sz w:val="20"/>
              </w:rPr>
              <w:t>Duration</w:t>
            </w:r>
          </w:p>
        </w:tc>
      </w:tr>
      <w:tr>
        <w:tc>
          <w:tcPr>
            <w:tcW w:type="dxa" w:w="2340"/>
          </w:tcPr>
          <w:p>
            <w:r>
              <w:rPr>
                <w:sz w:val="20"/>
              </w:rPr>
              <w:t>Assess</w:t>
            </w:r>
          </w:p>
        </w:tc>
        <w:tc>
          <w:tcPr>
            <w:tcW w:type="dxa" w:w="2340"/>
          </w:tcPr>
          <w:p>
            <w:r>
              <w:rPr>
                <w:sz w:val="20"/>
              </w:rPr>
              <w:t>Extract samples, run profiling SQL, review completeness/uniqueness</w:t>
            </w:r>
          </w:p>
        </w:tc>
        <w:tc>
          <w:tcPr>
            <w:tcW w:type="dxa" w:w="2340"/>
          </w:tcPr>
          <w:p>
            <w:r>
              <w:rPr>
                <w:sz w:val="20"/>
              </w:rPr>
              <w:t>Profiling report, issue registry</w:t>
            </w:r>
          </w:p>
        </w:tc>
        <w:tc>
          <w:tcPr>
            <w:tcW w:type="dxa" w:w="2340"/>
          </w:tcPr>
          <w:p>
            <w:r>
              <w:rPr>
                <w:sz w:val="20"/>
              </w:rPr>
              <w:t>2-4 weeks</w:t>
            </w:r>
          </w:p>
        </w:tc>
      </w:tr>
      <w:tr>
        <w:tc>
          <w:tcPr>
            <w:tcW w:type="dxa" w:w="2340"/>
            <w:shd w:fill="F4F6FA" w:val="clear"/>
          </w:tcPr>
          <w:p>
            <w:r>
              <w:rPr>
                <w:sz w:val="20"/>
              </w:rPr>
              <w:t>Prioritize</w:t>
            </w:r>
          </w:p>
        </w:tc>
        <w:tc>
          <w:tcPr>
            <w:tcW w:type="dxa" w:w="2340"/>
            <w:shd w:fill="F4F6FA" w:val="clear"/>
          </w:tcPr>
          <w:p>
            <w:r>
              <w:rPr>
                <w:sz w:val="20"/>
              </w:rPr>
              <w:t>Rank issues by business impact, fix complexity, migration criticality</w:t>
            </w:r>
          </w:p>
        </w:tc>
        <w:tc>
          <w:tcPr>
            <w:tcW w:type="dxa" w:w="2340"/>
            <w:shd w:fill="F4F6FA" w:val="clear"/>
          </w:tcPr>
          <w:p>
            <w:r>
              <w:rPr>
                <w:sz w:val="20"/>
              </w:rPr>
              <w:t>Remediation roadmap</w:t>
            </w:r>
          </w:p>
        </w:tc>
        <w:tc>
          <w:tcPr>
            <w:tcW w:type="dxa" w:w="2340"/>
            <w:shd w:fill="F4F6FA" w:val="clear"/>
          </w:tcPr>
          <w:p>
            <w:r>
              <w:rPr>
                <w:sz w:val="20"/>
              </w:rPr>
              <w:t>1 week</w:t>
            </w:r>
          </w:p>
        </w:tc>
      </w:tr>
      <w:tr>
        <w:tc>
          <w:tcPr>
            <w:tcW w:type="dxa" w:w="2340"/>
          </w:tcPr>
          <w:p>
            <w:r>
              <w:rPr>
                <w:sz w:val="20"/>
              </w:rPr>
              <w:t>Cleanse</w:t>
            </w:r>
          </w:p>
        </w:tc>
        <w:tc>
          <w:tcPr>
            <w:tcW w:type="dxa" w:w="2340"/>
          </w:tcPr>
          <w:p>
            <w:r>
              <w:rPr>
                <w:sz w:val="20"/>
              </w:rPr>
              <w:t>SQL/Python transformations, enrichment API calls, manual remediation</w:t>
            </w:r>
          </w:p>
        </w:tc>
        <w:tc>
          <w:tcPr>
            <w:tcW w:type="dxa" w:w="2340"/>
          </w:tcPr>
          <w:p>
            <w:r>
              <w:rPr>
                <w:sz w:val="20"/>
              </w:rPr>
              <w:t>Cleansed staging data</w:t>
            </w:r>
          </w:p>
        </w:tc>
        <w:tc>
          <w:tcPr>
            <w:tcW w:type="dxa" w:w="2340"/>
          </w:tcPr>
          <w:p>
            <w:r>
              <w:rPr>
                <w:sz w:val="20"/>
              </w:rPr>
              <w:t>4-12 weeks</w:t>
            </w:r>
          </w:p>
        </w:tc>
      </w:tr>
      <w:tr>
        <w:tc>
          <w:tcPr>
            <w:tcW w:type="dxa" w:w="2340"/>
            <w:shd w:fill="F4F6FA" w:val="clear"/>
          </w:tcPr>
          <w:p>
            <w:r>
              <w:rPr>
                <w:sz w:val="20"/>
              </w:rPr>
              <w:t>Validate</w:t>
            </w:r>
          </w:p>
        </w:tc>
        <w:tc>
          <w:tcPr>
            <w:tcW w:type="dxa" w:w="2340"/>
            <w:shd w:fill="F4F6FA" w:val="clear"/>
          </w:tcPr>
          <w:p>
            <w:r>
              <w:rPr>
                <w:sz w:val="20"/>
              </w:rPr>
              <w:t>Re-profile cleansed data, compare before/after metrics, UAT</w:t>
            </w:r>
          </w:p>
        </w:tc>
        <w:tc>
          <w:tcPr>
            <w:tcW w:type="dxa" w:w="2340"/>
            <w:shd w:fill="F4F6FA" w:val="clear"/>
          </w:tcPr>
          <w:p>
            <w:r>
              <w:rPr>
                <w:sz w:val="20"/>
              </w:rPr>
              <w:t>Data readiness certificate</w:t>
            </w:r>
          </w:p>
        </w:tc>
        <w:tc>
          <w:tcPr>
            <w:tcW w:type="dxa" w:w="2340"/>
            <w:shd w:fill="F4F6FA" w:val="clear"/>
          </w:tcPr>
          <w:p>
            <w:r>
              <w:rPr>
                <w:sz w:val="20"/>
              </w:rPr>
              <w:t>1-2 weeks</w:t>
            </w:r>
          </w:p>
        </w:tc>
      </w:tr>
      <w:tr>
        <w:tc>
          <w:tcPr>
            <w:tcW w:type="dxa" w:w="2340"/>
          </w:tcPr>
          <w:p>
            <w:r>
              <w:rPr>
                <w:sz w:val="20"/>
              </w:rPr>
              <w:t>Monitor</w:t>
            </w:r>
          </w:p>
        </w:tc>
        <w:tc>
          <w:tcPr>
            <w:tcW w:type="dxa" w:w="2340"/>
          </w:tcPr>
          <w:p>
            <w:r>
              <w:rPr>
                <w:sz w:val="20"/>
              </w:rPr>
              <w:t>Post-migration DQ rules monitor ongoing quality</w:t>
            </w:r>
          </w:p>
        </w:tc>
        <w:tc>
          <w:tcPr>
            <w:tcW w:type="dxa" w:w="2340"/>
          </w:tcPr>
          <w:p>
            <w:r>
              <w:rPr>
                <w:sz w:val="20"/>
              </w:rPr>
              <w:t>DQ dashboard live</w:t>
            </w:r>
          </w:p>
        </w:tc>
        <w:tc>
          <w:tcPr>
            <w:tcW w:type="dxa" w:w="2340"/>
          </w:tcPr>
          <w:p>
            <w:r>
              <w:rPr>
                <w:sz w:val="20"/>
              </w:rPr>
              <w:t>Continuous</w:t>
            </w:r>
          </w:p>
        </w:tc>
      </w:tr>
    </w:tbl>
    <w:p/>
    <w:p>
      <w:pPr>
        <w:pStyle w:val="Heading1"/>
      </w:pPr>
      <w:r>
        <w:t>2. Profiling Dimensions</w:t>
      </w:r>
    </w:p>
    <w:p>
      <w:pPr>
        <w:pStyle w:val="Heading2"/>
      </w:pPr>
      <w:r>
        <w:t>2.1 Completeness Profiling</w:t>
      </w:r>
    </w:p>
    <w:p>
      <w:pPr>
        <w:pStyle w:val="NoSpacing"/>
        <w:shd w:fill="F5F5F5" w:val="clear"/>
        <w:ind w:left="432"/>
      </w:pPr>
      <w:r>
        <w:rPr>
          <w:rFonts w:ascii="Consolas" w:hAnsi="Consolas"/>
          <w:sz w:val="18"/>
        </w:rPr>
        <w:t>-- Example: Completeness profiling query</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COUNT(*) AS total_records,</w:t>
      </w:r>
    </w:p>
    <w:p>
      <w:pPr>
        <w:pStyle w:val="NoSpacing"/>
        <w:shd w:fill="F5F5F5" w:val="clear"/>
        <w:ind w:left="432"/>
      </w:pPr>
      <w:r>
        <w:rPr>
          <w:rFonts w:ascii="Consolas" w:hAnsi="Consolas"/>
          <w:sz w:val="18"/>
        </w:rPr>
        <w:t xml:space="preserve">  COUNT(first_name) AS has_first_name,</w:t>
      </w:r>
    </w:p>
    <w:p>
      <w:pPr>
        <w:pStyle w:val="NoSpacing"/>
        <w:shd w:fill="F5F5F5" w:val="clear"/>
        <w:ind w:left="432"/>
      </w:pPr>
      <w:r>
        <w:rPr>
          <w:rFonts w:ascii="Consolas" w:hAnsi="Consolas"/>
          <w:sz w:val="18"/>
        </w:rPr>
        <w:t xml:space="preserve">  ROUND(COUNT(first_name) * 100.0 / COUNT(*), 2) AS first_name_pct,</w:t>
      </w:r>
    </w:p>
    <w:p>
      <w:pPr>
        <w:pStyle w:val="NoSpacing"/>
        <w:shd w:fill="F5F5F5" w:val="clear"/>
        <w:ind w:left="432"/>
      </w:pPr>
      <w:r>
        <w:rPr>
          <w:rFonts w:ascii="Consolas" w:hAnsi="Consolas"/>
          <w:sz w:val="18"/>
        </w:rPr>
        <w:t xml:space="preserve">  COUNT(email_address) AS has_email,</w:t>
      </w:r>
    </w:p>
    <w:p>
      <w:pPr>
        <w:pStyle w:val="NoSpacing"/>
        <w:shd w:fill="F5F5F5" w:val="clear"/>
        <w:ind w:left="432"/>
      </w:pPr>
      <w:r>
        <w:rPr>
          <w:rFonts w:ascii="Consolas" w:hAnsi="Consolas"/>
          <w:sz w:val="18"/>
        </w:rPr>
        <w:t xml:space="preserve">  ROUND(COUNT(email_address) * 100.0 / COUNT(*), 2) AS email_pct,</w:t>
      </w:r>
    </w:p>
    <w:p>
      <w:pPr>
        <w:pStyle w:val="NoSpacing"/>
        <w:shd w:fill="F5F5F5" w:val="clear"/>
        <w:ind w:left="432"/>
      </w:pPr>
      <w:r>
        <w:rPr>
          <w:rFonts w:ascii="Consolas" w:hAnsi="Consolas"/>
          <w:sz w:val="18"/>
        </w:rPr>
        <w:t xml:space="preserve">  COUNT(phone_number) AS has_phone,</w:t>
      </w:r>
    </w:p>
    <w:p>
      <w:pPr>
        <w:pStyle w:val="NoSpacing"/>
        <w:shd w:fill="F5F5F5" w:val="clear"/>
        <w:ind w:left="432"/>
      </w:pPr>
      <w:r>
        <w:rPr>
          <w:rFonts w:ascii="Consolas" w:hAnsi="Consolas"/>
          <w:sz w:val="18"/>
        </w:rPr>
        <w:t xml:space="preserve">  ROUND(COUNT(phone_number) * 100.0 / COUNT(*), 2) AS phone_pct,</w:t>
      </w:r>
    </w:p>
    <w:p>
      <w:pPr>
        <w:pStyle w:val="NoSpacing"/>
        <w:shd w:fill="F5F5F5" w:val="clear"/>
        <w:ind w:left="432"/>
      </w:pPr>
      <w:r>
        <w:rPr>
          <w:rFonts w:ascii="Consolas" w:hAnsi="Consolas"/>
          <w:sz w:val="18"/>
        </w:rPr>
        <w:t xml:space="preserve">  COUNT(tax_id) AS has_tax_id,</w:t>
      </w:r>
    </w:p>
    <w:p>
      <w:pPr>
        <w:pStyle w:val="NoSpacing"/>
        <w:shd w:fill="F5F5F5" w:val="clear"/>
        <w:ind w:left="432"/>
      </w:pPr>
      <w:r>
        <w:rPr>
          <w:rFonts w:ascii="Consolas" w:hAnsi="Consolas"/>
          <w:sz w:val="18"/>
        </w:rPr>
        <w:t xml:space="preserve">  ROUND(COUNT(tax_id) * 100.0 / COUNT(*), 2) AS tax_id_pct</w:t>
      </w:r>
    </w:p>
    <w:p>
      <w:pPr>
        <w:pStyle w:val="NoSpacing"/>
        <w:shd w:fill="F5F5F5" w:val="clear"/>
        <w:ind w:left="432"/>
      </w:pPr>
      <w:r>
        <w:rPr>
          <w:rFonts w:ascii="Consolas" w:hAnsi="Consolas"/>
          <w:sz w:val="18"/>
        </w:rPr>
        <w:t>FROM source_customer_table</w:t>
      </w:r>
    </w:p>
    <w:p>
      <w:pPr>
        <w:pStyle w:val="NoSpacing"/>
        <w:shd w:fill="F5F5F5" w:val="clear"/>
        <w:ind w:left="432"/>
      </w:pPr>
      <w:r>
        <w:rPr>
          <w:rFonts w:ascii="Consolas" w:hAnsi="Consolas"/>
          <w:sz w:val="18"/>
        </w:rPr>
        <w:t>WHERE status = 'ACTIVE';</w:t>
      </w:r>
    </w:p>
    <w:p/>
    <w:p>
      <w:pPr>
        <w:pStyle w:val="Heading2"/>
      </w:pPr>
      <w:r>
        <w:t>2.2 Uniqueness Profiling</w:t>
      </w:r>
    </w:p>
    <w:p>
      <w:pPr>
        <w:pStyle w:val="NoSpacing"/>
        <w:shd w:fill="F5F5F5" w:val="clear"/>
        <w:ind w:left="432"/>
      </w:pPr>
      <w:r>
        <w:rPr>
          <w:rFonts w:ascii="Consolas" w:hAnsi="Consolas"/>
          <w:sz w:val="18"/>
        </w:rPr>
        <w:t>-- Example: Duplicate detection by email domain</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LOWER(email_address) AS canonical_email,</w:t>
      </w:r>
    </w:p>
    <w:p>
      <w:pPr>
        <w:pStyle w:val="NoSpacing"/>
        <w:shd w:fill="F5F5F5" w:val="clear"/>
        <w:ind w:left="432"/>
      </w:pPr>
      <w:r>
        <w:rPr>
          <w:rFonts w:ascii="Consolas" w:hAnsi="Consolas"/>
          <w:sz w:val="18"/>
        </w:rPr>
        <w:t xml:space="preserve">  COUNT(*) AS occurrence_count</w:t>
      </w:r>
    </w:p>
    <w:p>
      <w:pPr>
        <w:pStyle w:val="NoSpacing"/>
        <w:shd w:fill="F5F5F5" w:val="clear"/>
        <w:ind w:left="432"/>
      </w:pPr>
      <w:r>
        <w:rPr>
          <w:rFonts w:ascii="Consolas" w:hAnsi="Consolas"/>
          <w:sz w:val="18"/>
        </w:rPr>
        <w:t>FROM source_customer_table</w:t>
      </w:r>
    </w:p>
    <w:p>
      <w:pPr>
        <w:pStyle w:val="NoSpacing"/>
        <w:shd w:fill="F5F5F5" w:val="clear"/>
        <w:ind w:left="432"/>
      </w:pPr>
      <w:r>
        <w:rPr>
          <w:rFonts w:ascii="Consolas" w:hAnsi="Consolas"/>
          <w:sz w:val="18"/>
        </w:rPr>
        <w:t>WHERE email_address IS NOT NULL</w:t>
      </w:r>
    </w:p>
    <w:p>
      <w:pPr>
        <w:pStyle w:val="NoSpacing"/>
        <w:shd w:fill="F5F5F5" w:val="clear"/>
        <w:ind w:left="432"/>
      </w:pPr>
      <w:r>
        <w:rPr>
          <w:rFonts w:ascii="Consolas" w:hAnsi="Consolas"/>
          <w:sz w:val="18"/>
        </w:rPr>
        <w:t>GROUP BY LOWER(email_address)</w:t>
      </w:r>
    </w:p>
    <w:p>
      <w:pPr>
        <w:pStyle w:val="NoSpacing"/>
        <w:shd w:fill="F5F5F5" w:val="clear"/>
        <w:ind w:left="432"/>
      </w:pPr>
      <w:r>
        <w:rPr>
          <w:rFonts w:ascii="Consolas" w:hAnsi="Consolas"/>
          <w:sz w:val="18"/>
        </w:rPr>
        <w:t>HAVING COUNT(*) &gt; 1</w:t>
      </w:r>
    </w:p>
    <w:p>
      <w:pPr>
        <w:pStyle w:val="NoSpacing"/>
        <w:shd w:fill="F5F5F5" w:val="clear"/>
        <w:ind w:left="432"/>
      </w:pPr>
      <w:r>
        <w:rPr>
          <w:rFonts w:ascii="Consolas" w:hAnsi="Consolas"/>
          <w:sz w:val="18"/>
        </w:rPr>
        <w:t>ORDER BY occurrence_count DESC</w:t>
      </w:r>
    </w:p>
    <w:p>
      <w:pPr>
        <w:pStyle w:val="NoSpacing"/>
        <w:shd w:fill="F5F5F5" w:val="clear"/>
        <w:ind w:left="432"/>
      </w:pPr>
      <w:r>
        <w:rPr>
          <w:rFonts w:ascii="Consolas" w:hAnsi="Consolas"/>
          <w:sz w:val="18"/>
        </w:rPr>
        <w:t>LIMIT 100;</w:t>
      </w:r>
    </w:p>
    <w:p/>
    <w:p>
      <w:pPr>
        <w:pStyle w:val="Heading2"/>
      </w:pPr>
      <w:r>
        <w:t>2.3 Validity Profiling</w:t>
      </w:r>
    </w:p>
    <w:p>
      <w:pPr>
        <w:pStyle w:val="NoSpacing"/>
        <w:shd w:fill="F5F5F5" w:val="clear"/>
        <w:ind w:left="432"/>
      </w:pPr>
      <w:r>
        <w:rPr>
          <w:rFonts w:ascii="Consolas" w:hAnsi="Consolas"/>
          <w:sz w:val="18"/>
        </w:rPr>
        <w:t>-- Example: Phone number format validity check</w:t>
      </w:r>
    </w:p>
    <w:p>
      <w:pPr>
        <w:pStyle w:val="NoSpacing"/>
        <w:shd w:fill="F5F5F5" w:val="clear"/>
        <w:ind w:left="432"/>
      </w:pPr>
      <w:r>
        <w:rPr>
          <w:rFonts w:ascii="Consolas" w:hAnsi="Consolas"/>
          <w:sz w:val="18"/>
        </w:rPr>
        <w:t>SELECT</w:t>
      </w:r>
    </w:p>
    <w:p>
      <w:pPr>
        <w:pStyle w:val="NoSpacing"/>
        <w:shd w:fill="F5F5F5" w:val="clear"/>
        <w:ind w:left="432"/>
      </w:pPr>
      <w:r>
        <w:rPr>
          <w:rFonts w:ascii="Consolas" w:hAnsi="Consolas"/>
          <w:sz w:val="18"/>
        </w:rPr>
        <w:t xml:space="preserve">  CASE</w:t>
      </w:r>
    </w:p>
    <w:p>
      <w:pPr>
        <w:pStyle w:val="NoSpacing"/>
        <w:shd w:fill="F5F5F5" w:val="clear"/>
        <w:ind w:left="432"/>
      </w:pPr>
      <w:r>
        <w:rPr>
          <w:rFonts w:ascii="Consolas" w:hAnsi="Consolas"/>
          <w:sz w:val="18"/>
        </w:rPr>
        <w:t xml:space="preserve">    WHEN phone ~ '^\+?1?[2-9][0-9]{2}[2-9][0-9]{2}[0-9]{4}$' THEN 'VALID_US'</w:t>
      </w:r>
    </w:p>
    <w:p>
      <w:pPr>
        <w:pStyle w:val="NoSpacing"/>
        <w:shd w:fill="F5F5F5" w:val="clear"/>
        <w:ind w:left="432"/>
      </w:pPr>
      <w:r>
        <w:rPr>
          <w:rFonts w:ascii="Consolas" w:hAnsi="Consolas"/>
          <w:sz w:val="18"/>
        </w:rPr>
        <w:t xml:space="preserve">    WHEN phone ~ '^\+[1-9][0-9]{7,14}$' THEN 'VALID_INTL'</w:t>
      </w:r>
    </w:p>
    <w:p>
      <w:pPr>
        <w:pStyle w:val="NoSpacing"/>
        <w:shd w:fill="F5F5F5" w:val="clear"/>
        <w:ind w:left="432"/>
      </w:pPr>
      <w:r>
        <w:rPr>
          <w:rFonts w:ascii="Consolas" w:hAnsi="Consolas"/>
          <w:sz w:val="18"/>
        </w:rPr>
        <w:t xml:space="preserve">    WHEN phone IS NULL THEN 'NULL'</w:t>
      </w:r>
    </w:p>
    <w:p>
      <w:pPr>
        <w:pStyle w:val="NoSpacing"/>
        <w:shd w:fill="F5F5F5" w:val="clear"/>
        <w:ind w:left="432"/>
      </w:pPr>
      <w:r>
        <w:rPr>
          <w:rFonts w:ascii="Consolas" w:hAnsi="Consolas"/>
          <w:sz w:val="18"/>
        </w:rPr>
        <w:t xml:space="preserve">    ELSE 'INVALID'</w:t>
      </w:r>
    </w:p>
    <w:p>
      <w:pPr>
        <w:pStyle w:val="NoSpacing"/>
        <w:shd w:fill="F5F5F5" w:val="clear"/>
        <w:ind w:left="432"/>
      </w:pPr>
      <w:r>
        <w:rPr>
          <w:rFonts w:ascii="Consolas" w:hAnsi="Consolas"/>
          <w:sz w:val="18"/>
        </w:rPr>
        <w:t xml:space="preserve">  END AS phone_validity,</w:t>
      </w:r>
    </w:p>
    <w:p>
      <w:pPr>
        <w:pStyle w:val="NoSpacing"/>
        <w:shd w:fill="F5F5F5" w:val="clear"/>
        <w:ind w:left="432"/>
      </w:pPr>
      <w:r>
        <w:rPr>
          <w:rFonts w:ascii="Consolas" w:hAnsi="Consolas"/>
          <w:sz w:val="18"/>
        </w:rPr>
        <w:t xml:space="preserve">  COUNT(*) AS count,</w:t>
      </w:r>
    </w:p>
    <w:p>
      <w:pPr>
        <w:pStyle w:val="NoSpacing"/>
        <w:shd w:fill="F5F5F5" w:val="clear"/>
        <w:ind w:left="432"/>
      </w:pPr>
      <w:r>
        <w:rPr>
          <w:rFonts w:ascii="Consolas" w:hAnsi="Consolas"/>
          <w:sz w:val="18"/>
        </w:rPr>
        <w:t xml:space="preserve">  ROUND(COUNT(*) * 100.0 / SUM(COUNT(*)) OVER(), 2) AS pct</w:t>
      </w:r>
    </w:p>
    <w:p>
      <w:pPr>
        <w:pStyle w:val="NoSpacing"/>
        <w:shd w:fill="F5F5F5" w:val="clear"/>
        <w:ind w:left="432"/>
      </w:pPr>
      <w:r>
        <w:rPr>
          <w:rFonts w:ascii="Consolas" w:hAnsi="Consolas"/>
          <w:sz w:val="18"/>
        </w:rPr>
        <w:t>FROM source_customer_table</w:t>
      </w:r>
    </w:p>
    <w:p>
      <w:pPr>
        <w:pStyle w:val="NoSpacing"/>
        <w:shd w:fill="F5F5F5" w:val="clear"/>
        <w:ind w:left="432"/>
      </w:pPr>
      <w:r>
        <w:rPr>
          <w:rFonts w:ascii="Consolas" w:hAnsi="Consolas"/>
          <w:sz w:val="18"/>
        </w:rPr>
        <w:t>GROUP BY 1;</w:t>
      </w:r>
    </w:p>
    <w:p/>
    <w:p>
      <w:pPr>
        <w:pStyle w:val="Heading1"/>
      </w:pPr>
      <w:r>
        <w:t>3. Cleansing Strategy</w:t>
      </w:r>
    </w:p>
    <w:p>
      <w:pPr>
        <w:pStyle w:val="Heading2"/>
      </w:pPr>
      <w:r>
        <w:t>3.1 Cleansing Priority Matrix</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Issue Category</w:t>
            </w:r>
          </w:p>
        </w:tc>
        <w:tc>
          <w:tcPr>
            <w:tcW w:type="dxa" w:w="2340"/>
            <w:shd w:fill="0C548A" w:val="clear"/>
          </w:tcPr>
          <w:p>
            <w:r>
              <w:rPr>
                <w:b/>
                <w:color w:val="FFFFFF"/>
                <w:sz w:val="20"/>
              </w:rPr>
              <w:t>Business Impact</w:t>
            </w:r>
          </w:p>
        </w:tc>
        <w:tc>
          <w:tcPr>
            <w:tcW w:type="dxa" w:w="2340"/>
            <w:shd w:fill="0C548A" w:val="clear"/>
          </w:tcPr>
          <w:p>
            <w:r>
              <w:rPr>
                <w:b/>
                <w:color w:val="FFFFFF"/>
                <w:sz w:val="20"/>
              </w:rPr>
              <w:t>Fix Complexity</w:t>
            </w:r>
          </w:p>
        </w:tc>
        <w:tc>
          <w:tcPr>
            <w:tcW w:type="dxa" w:w="2340"/>
            <w:shd w:fill="0C548A" w:val="clear"/>
          </w:tcPr>
          <w:p>
            <w:r>
              <w:rPr>
                <w:b/>
                <w:color w:val="FFFFFF"/>
                <w:sz w:val="20"/>
              </w:rPr>
              <w:t>Priority</w:t>
            </w:r>
          </w:p>
        </w:tc>
      </w:tr>
      <w:tr>
        <w:tc>
          <w:tcPr>
            <w:tcW w:type="dxa" w:w="2340"/>
          </w:tcPr>
          <w:p>
            <w:r>
              <w:rPr>
                <w:sz w:val="20"/>
              </w:rPr>
              <w:t>Missing primary key (tax ID, DUNS)</w:t>
            </w:r>
          </w:p>
        </w:tc>
        <w:tc>
          <w:tcPr>
            <w:tcW w:type="dxa" w:w="2340"/>
          </w:tcPr>
          <w:p>
            <w:r>
              <w:rPr>
                <w:sz w:val="20"/>
              </w:rPr>
              <w:t>Critical — breaks matching</w:t>
            </w:r>
          </w:p>
        </w:tc>
        <w:tc>
          <w:tcPr>
            <w:tcW w:type="dxa" w:w="2340"/>
          </w:tcPr>
          <w:p>
            <w:r>
              <w:rPr>
                <w:sz w:val="20"/>
              </w:rPr>
              <w:t>Low-Medium</w:t>
            </w:r>
          </w:p>
        </w:tc>
        <w:tc>
          <w:tcPr>
            <w:tcW w:type="dxa" w:w="2340"/>
          </w:tcPr>
          <w:p>
            <w:r>
              <w:rPr>
                <w:sz w:val="20"/>
              </w:rPr>
              <w:t>P1 — fix before migration</w:t>
            </w:r>
          </w:p>
        </w:tc>
      </w:tr>
      <w:tr>
        <w:tc>
          <w:tcPr>
            <w:tcW w:type="dxa" w:w="2340"/>
            <w:shd w:fill="F4F6FA" w:val="clear"/>
          </w:tcPr>
          <w:p>
            <w:r>
              <w:rPr>
                <w:sz w:val="20"/>
              </w:rPr>
              <w:t>Duplicate records (same email/phone)</w:t>
            </w:r>
          </w:p>
        </w:tc>
        <w:tc>
          <w:tcPr>
            <w:tcW w:type="dxa" w:w="2340"/>
            <w:shd w:fill="F4F6FA" w:val="clear"/>
          </w:tcPr>
          <w:p>
            <w:r>
              <w:rPr>
                <w:sz w:val="20"/>
              </w:rPr>
              <w:t>High — inflate match backlog</w:t>
            </w:r>
          </w:p>
        </w:tc>
        <w:tc>
          <w:tcPr>
            <w:tcW w:type="dxa" w:w="2340"/>
            <w:shd w:fill="F4F6FA" w:val="clear"/>
          </w:tcPr>
          <w:p>
            <w:r>
              <w:rPr>
                <w:sz w:val="20"/>
              </w:rPr>
              <w:t>Medium</w:t>
            </w:r>
          </w:p>
        </w:tc>
        <w:tc>
          <w:tcPr>
            <w:tcW w:type="dxa" w:w="2340"/>
            <w:shd w:fill="F4F6FA" w:val="clear"/>
          </w:tcPr>
          <w:p>
            <w:r>
              <w:rPr>
                <w:sz w:val="20"/>
              </w:rPr>
              <w:t>P1 — dedupe before migration</w:t>
            </w:r>
          </w:p>
        </w:tc>
      </w:tr>
      <w:tr>
        <w:tc>
          <w:tcPr>
            <w:tcW w:type="dxa" w:w="2340"/>
          </w:tcPr>
          <w:p>
            <w:r>
              <w:rPr>
                <w:sz w:val="20"/>
              </w:rPr>
              <w:t>Invalid email format</w:t>
            </w:r>
          </w:p>
        </w:tc>
        <w:tc>
          <w:tcPr>
            <w:tcW w:type="dxa" w:w="2340"/>
          </w:tcPr>
          <w:p>
            <w:r>
              <w:rPr>
                <w:sz w:val="20"/>
              </w:rPr>
              <w:t>Medium — enrichment failure</w:t>
            </w:r>
          </w:p>
        </w:tc>
        <w:tc>
          <w:tcPr>
            <w:tcW w:type="dxa" w:w="2340"/>
          </w:tcPr>
          <w:p>
            <w:r>
              <w:rPr>
                <w:sz w:val="20"/>
              </w:rPr>
              <w:t>Low — regex fix</w:t>
            </w:r>
          </w:p>
        </w:tc>
        <w:tc>
          <w:tcPr>
            <w:tcW w:type="dxa" w:w="2340"/>
          </w:tcPr>
          <w:p>
            <w:r>
              <w:rPr>
                <w:sz w:val="20"/>
              </w:rPr>
              <w:t>P2</w:t>
            </w:r>
          </w:p>
        </w:tc>
      </w:tr>
      <w:tr>
        <w:tc>
          <w:tcPr>
            <w:tcW w:type="dxa" w:w="2340"/>
            <w:shd w:fill="F4F6FA" w:val="clear"/>
          </w:tcPr>
          <w:p>
            <w:r>
              <w:rPr>
                <w:sz w:val="20"/>
              </w:rPr>
              <w:t>Non-standard phone format</w:t>
            </w:r>
          </w:p>
        </w:tc>
        <w:tc>
          <w:tcPr>
            <w:tcW w:type="dxa" w:w="2340"/>
            <w:shd w:fill="F4F6FA" w:val="clear"/>
          </w:tcPr>
          <w:p>
            <w:r>
              <w:rPr>
                <w:sz w:val="20"/>
              </w:rPr>
              <w:t>Medium — match quality</w:t>
            </w:r>
          </w:p>
        </w:tc>
        <w:tc>
          <w:tcPr>
            <w:tcW w:type="dxa" w:w="2340"/>
            <w:shd w:fill="F4F6FA" w:val="clear"/>
          </w:tcPr>
          <w:p>
            <w:r>
              <w:rPr>
                <w:sz w:val="20"/>
              </w:rPr>
              <w:t>Low — normalization</w:t>
            </w:r>
          </w:p>
        </w:tc>
        <w:tc>
          <w:tcPr>
            <w:tcW w:type="dxa" w:w="2340"/>
            <w:shd w:fill="F4F6FA" w:val="clear"/>
          </w:tcPr>
          <w:p>
            <w:r>
              <w:rPr>
                <w:sz w:val="20"/>
              </w:rPr>
              <w:t>P2</w:t>
            </w:r>
          </w:p>
        </w:tc>
      </w:tr>
      <w:tr>
        <w:tc>
          <w:tcPr>
            <w:tcW w:type="dxa" w:w="2340"/>
          </w:tcPr>
          <w:p>
            <w:r>
              <w:rPr>
                <w:sz w:val="20"/>
              </w:rPr>
              <w:t>Missing optional attributes</w:t>
            </w:r>
          </w:p>
        </w:tc>
        <w:tc>
          <w:tcPr>
            <w:tcW w:type="dxa" w:w="2340"/>
          </w:tcPr>
          <w:p>
            <w:r>
              <w:rPr>
                <w:sz w:val="20"/>
              </w:rPr>
              <w:t>Low — completeness score</w:t>
            </w:r>
          </w:p>
        </w:tc>
        <w:tc>
          <w:tcPr>
            <w:tcW w:type="dxa" w:w="2340"/>
          </w:tcPr>
          <w:p>
            <w:r>
              <w:rPr>
                <w:sz w:val="20"/>
              </w:rPr>
              <w:t>Low-High (enrichment)</w:t>
            </w:r>
          </w:p>
        </w:tc>
        <w:tc>
          <w:tcPr>
            <w:tcW w:type="dxa" w:w="2340"/>
          </w:tcPr>
          <w:p>
            <w:r>
              <w:rPr>
                <w:sz w:val="20"/>
              </w:rPr>
              <w:t>P3</w:t>
            </w:r>
          </w:p>
        </w:tc>
      </w:tr>
      <w:tr>
        <w:tc>
          <w:tcPr>
            <w:tcW w:type="dxa" w:w="2340"/>
            <w:shd w:fill="F4F6FA" w:val="clear"/>
          </w:tcPr>
          <w:p>
            <w:r>
              <w:rPr>
                <w:sz w:val="20"/>
              </w:rPr>
              <w:t>Outdated addresses</w:t>
            </w:r>
          </w:p>
        </w:tc>
        <w:tc>
          <w:tcPr>
            <w:tcW w:type="dxa" w:w="2340"/>
            <w:shd w:fill="F4F6FA" w:val="clear"/>
          </w:tcPr>
          <w:p>
            <w:r>
              <w:rPr>
                <w:sz w:val="20"/>
              </w:rPr>
              <w:t>Low-Medium — deliverability</w:t>
            </w:r>
          </w:p>
        </w:tc>
        <w:tc>
          <w:tcPr>
            <w:tcW w:type="dxa" w:w="2340"/>
            <w:shd w:fill="F4F6FA" w:val="clear"/>
          </w:tcPr>
          <w:p>
            <w:r>
              <w:rPr>
                <w:sz w:val="20"/>
              </w:rPr>
              <w:t>High — USPS validation</w:t>
            </w:r>
          </w:p>
        </w:tc>
        <w:tc>
          <w:tcPr>
            <w:tcW w:type="dxa" w:w="2340"/>
            <w:shd w:fill="F4F6FA" w:val="clear"/>
          </w:tcPr>
          <w:p>
            <w:r>
              <w:rPr>
                <w:sz w:val="20"/>
              </w:rPr>
              <w:t>P3</w:t>
            </w:r>
          </w:p>
        </w:tc>
      </w:tr>
    </w:tbl>
    <w:p/>
    <w:p>
      <w:pPr>
        <w:pStyle w:val="Heading2"/>
      </w:pPr>
      <w:r>
        <w:t>3.2 Automated Cleansing Patterns</w:t>
      </w:r>
    </w:p>
    <w:p>
      <w:pPr>
        <w:pStyle w:val="ListBullet"/>
      </w:pPr>
      <w:r>
        <w:t>Phone normalization: Strip all non-numeric, add country code prefix, format to E.164</w:t>
      </w:r>
    </w:p>
    <w:p>
      <w:pPr>
        <w:pStyle w:val="ListBullet"/>
      </w:pPr>
      <w:r>
        <w:t>Email lowercasing: Apply LOWER() and TRIM() to all email values before load</w:t>
      </w:r>
    </w:p>
    <w:p>
      <w:pPr>
        <w:pStyle w:val="ListBullet"/>
      </w:pPr>
      <w:r>
        <w:t>Name standardization: Title case, expand abbreviations (St. → Street), remove punctuation</w:t>
      </w:r>
    </w:p>
    <w:p>
      <w:pPr>
        <w:pStyle w:val="ListBullet"/>
      </w:pPr>
      <w:r>
        <w:t>Date normalization: Convert all date formats to ISO 8601 (YYYY-MM-DD)</w:t>
      </w:r>
    </w:p>
    <w:p>
      <w:pPr>
        <w:pStyle w:val="ListBullet"/>
      </w:pPr>
      <w:r>
        <w:t>Country code standardization: Map all country variants to ISO 3166-1 alpha-2</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Never cleanse data directly in the source system. Always cleanse in a staging layer and load the cleansed data to Reltio. Preserve original source values as cross-reference metadata for rollback capability.</w:t>
      </w:r>
    </w:p>
    <w:p/>
    <w:p>
      <w:pPr>
        <w:pStyle w:val="Heading1"/>
      </w:pPr>
      <w:r>
        <w:t>4. Reltio-Specific Readiness</w:t>
      </w:r>
    </w:p>
    <w:p>
      <w:pPr>
        <w:pStyle w:val="Heading2"/>
      </w:pPr>
      <w:r>
        <w:t>4.1 Match Key Quality Requirements</w:t>
      </w:r>
    </w:p>
    <w:p>
      <w:r>
        <w:t>Reltio's match engine relies on attribute combinations to compute match scores. Insufficient data quality in match key attributes directly impacts entity resolution effectiveness.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Match Key Attribute</w:t>
            </w:r>
          </w:p>
        </w:tc>
        <w:tc>
          <w:tcPr>
            <w:tcW w:type="dxa" w:w="3120"/>
            <w:shd w:fill="0C548A" w:val="clear"/>
          </w:tcPr>
          <w:p>
            <w:r>
              <w:rPr>
                <w:b/>
                <w:color w:val="FFFFFF"/>
                <w:sz w:val="20"/>
              </w:rPr>
              <w:t>Minimum Population %</w:t>
            </w:r>
          </w:p>
        </w:tc>
        <w:tc>
          <w:tcPr>
            <w:tcW w:type="dxa" w:w="3120"/>
            <w:shd w:fill="0C548A" w:val="clear"/>
          </w:tcPr>
          <w:p>
            <w:r>
              <w:rPr>
                <w:b/>
                <w:color w:val="FFFFFF"/>
                <w:sz w:val="20"/>
              </w:rPr>
              <w:t>Quality Requirement</w:t>
            </w:r>
          </w:p>
        </w:tc>
      </w:tr>
      <w:tr>
        <w:tc>
          <w:tcPr>
            <w:tcW w:type="dxa" w:w="3120"/>
          </w:tcPr>
          <w:p>
            <w:r>
              <w:rPr>
                <w:sz w:val="20"/>
              </w:rPr>
              <w:t>Email address</w:t>
            </w:r>
          </w:p>
        </w:tc>
        <w:tc>
          <w:tcPr>
            <w:tcW w:type="dxa" w:w="3120"/>
          </w:tcPr>
          <w:p>
            <w:r>
              <w:rPr>
                <w:sz w:val="20"/>
              </w:rPr>
              <w:t>&gt; 60% of records</w:t>
            </w:r>
          </w:p>
        </w:tc>
        <w:tc>
          <w:tcPr>
            <w:tcW w:type="dxa" w:w="3120"/>
          </w:tcPr>
          <w:p>
            <w:r>
              <w:rPr>
                <w:sz w:val="20"/>
              </w:rPr>
              <w:t>Valid format, no generic addresses (info@, noreply@)</w:t>
            </w:r>
          </w:p>
        </w:tc>
      </w:tr>
      <w:tr>
        <w:tc>
          <w:tcPr>
            <w:tcW w:type="dxa" w:w="3120"/>
            <w:shd w:fill="F4F6FA" w:val="clear"/>
          </w:tcPr>
          <w:p>
            <w:r>
              <w:rPr>
                <w:sz w:val="20"/>
              </w:rPr>
              <w:t>Phone number</w:t>
            </w:r>
          </w:p>
        </w:tc>
        <w:tc>
          <w:tcPr>
            <w:tcW w:type="dxa" w:w="3120"/>
            <w:shd w:fill="F4F6FA" w:val="clear"/>
          </w:tcPr>
          <w:p>
            <w:r>
              <w:rPr>
                <w:sz w:val="20"/>
              </w:rPr>
              <w:t>&gt; 50% of records</w:t>
            </w:r>
          </w:p>
        </w:tc>
        <w:tc>
          <w:tcPr>
            <w:tcW w:type="dxa" w:w="3120"/>
            <w:shd w:fill="F4F6FA" w:val="clear"/>
          </w:tcPr>
          <w:p>
            <w:r>
              <w:rPr>
                <w:sz w:val="20"/>
              </w:rPr>
              <w:t>Valid format, E.164 preferred</w:t>
            </w:r>
          </w:p>
        </w:tc>
      </w:tr>
      <w:tr>
        <w:tc>
          <w:tcPr>
            <w:tcW w:type="dxa" w:w="3120"/>
          </w:tcPr>
          <w:p>
            <w:r>
              <w:rPr>
                <w:sz w:val="20"/>
              </w:rPr>
              <w:t>Tax ID / SSN</w:t>
            </w:r>
          </w:p>
        </w:tc>
        <w:tc>
          <w:tcPr>
            <w:tcW w:type="dxa" w:w="3120"/>
          </w:tcPr>
          <w:p>
            <w:r>
              <w:rPr>
                <w:sz w:val="20"/>
              </w:rPr>
              <w:t>&gt; 70% (B2B) / 40% (B2C)</w:t>
            </w:r>
          </w:p>
        </w:tc>
        <w:tc>
          <w:tcPr>
            <w:tcW w:type="dxa" w:w="3120"/>
          </w:tcPr>
          <w:p>
            <w:r>
              <w:rPr>
                <w:sz w:val="20"/>
              </w:rPr>
              <w:t>Correct format, no placeholder values (000000000)</w:t>
            </w:r>
          </w:p>
        </w:tc>
      </w:tr>
      <w:tr>
        <w:tc>
          <w:tcPr>
            <w:tcW w:type="dxa" w:w="3120"/>
            <w:shd w:fill="F4F6FA" w:val="clear"/>
          </w:tcPr>
          <w:p>
            <w:r>
              <w:rPr>
                <w:sz w:val="20"/>
              </w:rPr>
              <w:t>Full postal address</w:t>
            </w:r>
          </w:p>
        </w:tc>
        <w:tc>
          <w:tcPr>
            <w:tcW w:type="dxa" w:w="3120"/>
            <w:shd w:fill="F4F6FA" w:val="clear"/>
          </w:tcPr>
          <w:p>
            <w:r>
              <w:rPr>
                <w:sz w:val="20"/>
              </w:rPr>
              <w:t>&gt; 70% of records</w:t>
            </w:r>
          </w:p>
        </w:tc>
        <w:tc>
          <w:tcPr>
            <w:tcW w:type="dxa" w:w="3120"/>
            <w:shd w:fill="F4F6FA" w:val="clear"/>
          </w:tcPr>
          <w:p>
            <w:r>
              <w:rPr>
                <w:sz w:val="20"/>
              </w:rPr>
              <w:t>Deliverable, not PO Box only</w:t>
            </w:r>
          </w:p>
        </w:tc>
      </w:tr>
      <w:tr>
        <w:tc>
          <w:tcPr>
            <w:tcW w:type="dxa" w:w="3120"/>
          </w:tcPr>
          <w:p>
            <w:r>
              <w:rPr>
                <w:sz w:val="20"/>
              </w:rPr>
              <w:t>First + Last name</w:t>
            </w:r>
          </w:p>
        </w:tc>
        <w:tc>
          <w:tcPr>
            <w:tcW w:type="dxa" w:w="3120"/>
          </w:tcPr>
          <w:p>
            <w:r>
              <w:rPr>
                <w:sz w:val="20"/>
              </w:rPr>
              <w:t>&gt; 90% of records</w:t>
            </w:r>
          </w:p>
        </w:tc>
        <w:tc>
          <w:tcPr>
            <w:tcW w:type="dxa" w:w="3120"/>
          </w:tcPr>
          <w:p>
            <w:r>
              <w:rPr>
                <w:sz w:val="20"/>
              </w:rPr>
              <w:t>Not null, not generic (TEST, UNKNOWN)</w:t>
            </w:r>
          </w:p>
        </w:tc>
      </w:tr>
      <w:tr>
        <w:tc>
          <w:tcPr>
            <w:tcW w:type="dxa" w:w="3120"/>
            <w:shd w:fill="F4F6FA" w:val="clear"/>
          </w:tcPr>
          <w:p>
            <w:r>
              <w:rPr>
                <w:sz w:val="20"/>
              </w:rPr>
              <w:t>DUNS Number (B2B)</w:t>
            </w:r>
          </w:p>
        </w:tc>
        <w:tc>
          <w:tcPr>
            <w:tcW w:type="dxa" w:w="3120"/>
            <w:shd w:fill="F4F6FA" w:val="clear"/>
          </w:tcPr>
          <w:p>
            <w:r>
              <w:rPr>
                <w:sz w:val="20"/>
              </w:rPr>
              <w:t>&gt; 50% of orgs</w:t>
            </w:r>
          </w:p>
        </w:tc>
        <w:tc>
          <w:tcPr>
            <w:tcW w:type="dxa" w:w="3120"/>
            <w:shd w:fill="F4F6FA" w:val="clear"/>
          </w:tcPr>
          <w:p>
            <w:r>
              <w:rPr>
                <w:sz w:val="20"/>
              </w:rPr>
              <w:t>9-digit format, D&amp;B-validated</w:t>
            </w:r>
          </w:p>
        </w:tc>
      </w:tr>
    </w:tbl>
    <w:p/>
    <w:p>
      <w:pPr>
        <w:pStyle w:val="Heading2"/>
      </w:pPr>
      <w:r>
        <w:t>4.2 Data Volume Readiness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Volume Range</w:t>
            </w:r>
          </w:p>
        </w:tc>
        <w:tc>
          <w:tcPr>
            <w:tcW w:type="dxa" w:w="3120"/>
            <w:shd w:fill="0C548A" w:val="clear"/>
          </w:tcPr>
          <w:p>
            <w:r>
              <w:rPr>
                <w:b/>
                <w:color w:val="FFFFFF"/>
                <w:sz w:val="20"/>
              </w:rPr>
              <w:t>Expected Match Rate</w:t>
            </w:r>
          </w:p>
        </w:tc>
        <w:tc>
          <w:tcPr>
            <w:tcW w:type="dxa" w:w="3120"/>
            <w:shd w:fill="0C548A" w:val="clear"/>
          </w:tcPr>
          <w:p>
            <w:r>
              <w:rPr>
                <w:b/>
                <w:color w:val="FFFFFF"/>
                <w:sz w:val="20"/>
              </w:rPr>
              <w:t>Migration Strategy</w:t>
            </w:r>
          </w:p>
        </w:tc>
      </w:tr>
      <w:tr>
        <w:tc>
          <w:tcPr>
            <w:tcW w:type="dxa" w:w="3120"/>
          </w:tcPr>
          <w:p>
            <w:r>
              <w:rPr>
                <w:sz w:val="20"/>
              </w:rPr>
              <w:t>&lt; 500K records</w:t>
            </w:r>
          </w:p>
        </w:tc>
        <w:tc>
          <w:tcPr>
            <w:tcW w:type="dxa" w:w="3120"/>
          </w:tcPr>
          <w:p>
            <w:r>
              <w:rPr>
                <w:sz w:val="20"/>
              </w:rPr>
              <w:t>High — manual review feasible</w:t>
            </w:r>
          </w:p>
        </w:tc>
        <w:tc>
          <w:tcPr>
            <w:tcW w:type="dxa" w:w="3120"/>
          </w:tcPr>
          <w:p>
            <w:r>
              <w:rPr>
                <w:sz w:val="20"/>
              </w:rPr>
              <w:t>Single bulk load job</w:t>
            </w:r>
          </w:p>
        </w:tc>
      </w:tr>
      <w:tr>
        <w:tc>
          <w:tcPr>
            <w:tcW w:type="dxa" w:w="3120"/>
            <w:shd w:fill="F4F6FA" w:val="clear"/>
          </w:tcPr>
          <w:p>
            <w:r>
              <w:rPr>
                <w:sz w:val="20"/>
              </w:rPr>
              <w:t>500K – 5M</w:t>
            </w:r>
          </w:p>
        </w:tc>
        <w:tc>
          <w:tcPr>
            <w:tcW w:type="dxa" w:w="3120"/>
            <w:shd w:fill="F4F6FA" w:val="clear"/>
          </w:tcPr>
          <w:p>
            <w:r>
              <w:rPr>
                <w:sz w:val="20"/>
              </w:rPr>
              <w:t>Medium — automated stewardship critical</w:t>
            </w:r>
          </w:p>
        </w:tc>
        <w:tc>
          <w:tcPr>
            <w:tcW w:type="dxa" w:w="3120"/>
            <w:shd w:fill="F4F6FA" w:val="clear"/>
          </w:tcPr>
          <w:p>
            <w:r>
              <w:rPr>
                <w:sz w:val="20"/>
              </w:rPr>
              <w:t>Phased bulk load by segment</w:t>
            </w:r>
          </w:p>
        </w:tc>
      </w:tr>
      <w:tr>
        <w:tc>
          <w:tcPr>
            <w:tcW w:type="dxa" w:w="3120"/>
          </w:tcPr>
          <w:p>
            <w:r>
              <w:rPr>
                <w:sz w:val="20"/>
              </w:rPr>
              <w:t>&gt; 5M</w:t>
            </w:r>
          </w:p>
        </w:tc>
        <w:tc>
          <w:tcPr>
            <w:tcW w:type="dxa" w:w="3120"/>
          </w:tcPr>
          <w:p>
            <w:r>
              <w:rPr>
                <w:sz w:val="20"/>
              </w:rPr>
              <w:t>Complex — ML match models required</w:t>
            </w:r>
          </w:p>
        </w:tc>
        <w:tc>
          <w:tcPr>
            <w:tcW w:type="dxa" w:w="3120"/>
          </w:tcPr>
          <w:p>
            <w:r>
              <w:rPr>
                <w:sz w:val="20"/>
              </w:rPr>
              <w:t>Parallel bulk load + streaming catch-up</w:t>
            </w:r>
          </w:p>
        </w:tc>
      </w:tr>
    </w:tbl>
    <w:p/>
    <w:p>
      <w:pPr>
        <w:pStyle w:val="Heading1"/>
      </w:pPr>
      <w:r>
        <w:t>5. Cleansing Tools &amp; Patterns</w:t>
      </w:r>
    </w:p>
    <w:p>
      <w:pPr>
        <w:pStyle w:val="Heading2"/>
      </w:pPr>
      <w:r>
        <w:t>5.1 Tool Recommendations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Tool</w:t>
            </w:r>
          </w:p>
        </w:tc>
        <w:tc>
          <w:tcPr>
            <w:tcW w:type="dxa" w:w="3120"/>
            <w:shd w:fill="0C548A" w:val="clear"/>
          </w:tcPr>
          <w:p>
            <w:r>
              <w:rPr>
                <w:b/>
                <w:color w:val="FFFFFF"/>
                <w:sz w:val="20"/>
              </w:rPr>
              <w:t>Use Case</w:t>
            </w:r>
          </w:p>
        </w:tc>
        <w:tc>
          <w:tcPr>
            <w:tcW w:type="dxa" w:w="3120"/>
            <w:shd w:fill="0C548A" w:val="clear"/>
          </w:tcPr>
          <w:p>
            <w:r>
              <w:rPr>
                <w:b/>
                <w:color w:val="FFFFFF"/>
                <w:sz w:val="20"/>
              </w:rPr>
              <w:t>Skill Level Required</w:t>
            </w:r>
          </w:p>
        </w:tc>
      </w:tr>
      <w:tr>
        <w:tc>
          <w:tcPr>
            <w:tcW w:type="dxa" w:w="3120"/>
          </w:tcPr>
          <w:p>
            <w:r>
              <w:rPr>
                <w:sz w:val="20"/>
              </w:rPr>
              <w:t>SQL (Snowflake/BigQuery)</w:t>
            </w:r>
          </w:p>
        </w:tc>
        <w:tc>
          <w:tcPr>
            <w:tcW w:type="dxa" w:w="3120"/>
          </w:tcPr>
          <w:p>
            <w:r>
              <w:rPr>
                <w:sz w:val="20"/>
              </w:rPr>
              <w:t>Profiling, transformation, deduplication logic</w:t>
            </w:r>
          </w:p>
        </w:tc>
        <w:tc>
          <w:tcPr>
            <w:tcW w:type="dxa" w:w="3120"/>
          </w:tcPr>
          <w:p>
            <w:r>
              <w:rPr>
                <w:sz w:val="20"/>
              </w:rPr>
              <w:t>SQL intermediate</w:t>
            </w:r>
          </w:p>
        </w:tc>
      </w:tr>
      <w:tr>
        <w:tc>
          <w:tcPr>
            <w:tcW w:type="dxa" w:w="3120"/>
            <w:shd w:fill="F4F6FA" w:val="clear"/>
          </w:tcPr>
          <w:p>
            <w:r>
              <w:rPr>
                <w:sz w:val="20"/>
              </w:rPr>
              <w:t>Python (Pandas + faker)</w:t>
            </w:r>
          </w:p>
        </w:tc>
        <w:tc>
          <w:tcPr>
            <w:tcW w:type="dxa" w:w="3120"/>
            <w:shd w:fill="F4F6FA" w:val="clear"/>
          </w:tcPr>
          <w:p>
            <w:r>
              <w:rPr>
                <w:sz w:val="20"/>
              </w:rPr>
              <w:t>Complex cleansing scripts, enrichment API calls</w:t>
            </w:r>
          </w:p>
        </w:tc>
        <w:tc>
          <w:tcPr>
            <w:tcW w:type="dxa" w:w="3120"/>
            <w:shd w:fill="F4F6FA" w:val="clear"/>
          </w:tcPr>
          <w:p>
            <w:r>
              <w:rPr>
                <w:sz w:val="20"/>
              </w:rPr>
              <w:t>Python intermediate</w:t>
            </w:r>
          </w:p>
        </w:tc>
      </w:tr>
      <w:tr>
        <w:tc>
          <w:tcPr>
            <w:tcW w:type="dxa" w:w="3120"/>
          </w:tcPr>
          <w:p>
            <w:r>
              <w:rPr>
                <w:sz w:val="20"/>
              </w:rPr>
              <w:t>Melissa Data API</w:t>
            </w:r>
          </w:p>
        </w:tc>
        <w:tc>
          <w:tcPr>
            <w:tcW w:type="dxa" w:w="3120"/>
          </w:tcPr>
          <w:p>
            <w:r>
              <w:rPr>
                <w:sz w:val="20"/>
              </w:rPr>
              <w:t>Address/phone/email verification at scale</w:t>
            </w:r>
          </w:p>
        </w:tc>
        <w:tc>
          <w:tcPr>
            <w:tcW w:type="dxa" w:w="3120"/>
          </w:tcPr>
          <w:p>
            <w:r>
              <w:rPr>
                <w:sz w:val="20"/>
              </w:rPr>
              <w:t>API basic</w:t>
            </w:r>
          </w:p>
        </w:tc>
      </w:tr>
      <w:tr>
        <w:tc>
          <w:tcPr>
            <w:tcW w:type="dxa" w:w="3120"/>
            <w:shd w:fill="F4F6FA" w:val="clear"/>
          </w:tcPr>
          <w:p>
            <w:r>
              <w:rPr>
                <w:sz w:val="20"/>
              </w:rPr>
              <w:t>D&amp;B Direct+</w:t>
            </w:r>
          </w:p>
        </w:tc>
        <w:tc>
          <w:tcPr>
            <w:tcW w:type="dxa" w:w="3120"/>
            <w:shd w:fill="F4F6FA" w:val="clear"/>
          </w:tcPr>
          <w:p>
            <w:r>
              <w:rPr>
                <w:sz w:val="20"/>
              </w:rPr>
              <w:t>Organization enrichment (DUNS, firmographics)</w:t>
            </w:r>
          </w:p>
        </w:tc>
        <w:tc>
          <w:tcPr>
            <w:tcW w:type="dxa" w:w="3120"/>
            <w:shd w:fill="F4F6FA" w:val="clear"/>
          </w:tcPr>
          <w:p>
            <w:r>
              <w:rPr>
                <w:sz w:val="20"/>
              </w:rPr>
              <w:t>API basic</w:t>
            </w:r>
          </w:p>
        </w:tc>
      </w:tr>
      <w:tr>
        <w:tc>
          <w:tcPr>
            <w:tcW w:type="dxa" w:w="3120"/>
          </w:tcPr>
          <w:p>
            <w:r>
              <w:rPr>
                <w:sz w:val="20"/>
              </w:rPr>
              <w:t>OpenRefine</w:t>
            </w:r>
          </w:p>
        </w:tc>
        <w:tc>
          <w:tcPr>
            <w:tcW w:type="dxa" w:w="3120"/>
          </w:tcPr>
          <w:p>
            <w:r>
              <w:rPr>
                <w:sz w:val="20"/>
              </w:rPr>
              <w:t>Small-scale manual cleansing, clustering</w:t>
            </w:r>
          </w:p>
        </w:tc>
        <w:tc>
          <w:tcPr>
            <w:tcW w:type="dxa" w:w="3120"/>
          </w:tcPr>
          <w:p>
            <w:r>
              <w:rPr>
                <w:sz w:val="20"/>
              </w:rPr>
              <w:t>Low — GUI tool</w:t>
            </w:r>
          </w:p>
        </w:tc>
      </w:tr>
      <w:tr>
        <w:tc>
          <w:tcPr>
            <w:tcW w:type="dxa" w:w="3120"/>
            <w:shd w:fill="F4F6FA" w:val="clear"/>
          </w:tcPr>
          <w:p>
            <w:r>
              <w:rPr>
                <w:sz w:val="20"/>
              </w:rPr>
              <w:t>Talend / Informatica</w:t>
            </w:r>
          </w:p>
        </w:tc>
        <w:tc>
          <w:tcPr>
            <w:tcW w:type="dxa" w:w="3120"/>
            <w:shd w:fill="F4F6FA" w:val="clear"/>
          </w:tcPr>
          <w:p>
            <w:r>
              <w:rPr>
                <w:sz w:val="20"/>
              </w:rPr>
              <w:t>Enterprise-grade ETL cleansing pipelines</w:t>
            </w:r>
          </w:p>
        </w:tc>
        <w:tc>
          <w:tcPr>
            <w:tcW w:type="dxa" w:w="3120"/>
            <w:shd w:fill="F4F6FA" w:val="clear"/>
          </w:tcPr>
          <w:p>
            <w:r>
              <w:rPr>
                <w:sz w:val="20"/>
              </w:rPr>
              <w:t>ETL expert</w:t>
            </w:r>
          </w:p>
        </w:tc>
      </w:tr>
    </w:tbl>
    <w:p/>
    <w:p>
      <w:pPr>
        <w:pStyle w:val="Heading1"/>
      </w:pPr>
      <w:r>
        <w:t>6. Data Readiness Certification</w:t>
      </w:r>
    </w:p>
    <w:p>
      <w:pPr>
        <w:pStyle w:val="Heading2"/>
      </w:pPr>
      <w:r>
        <w:t>6.1 Readiness Scorecard</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Criterion</w:t>
            </w:r>
          </w:p>
        </w:tc>
        <w:tc>
          <w:tcPr>
            <w:tcW w:type="dxa" w:w="3120"/>
            <w:shd w:fill="0C548A" w:val="clear"/>
          </w:tcPr>
          <w:p>
            <w:r>
              <w:rPr>
                <w:b/>
                <w:color w:val="FFFFFF"/>
                <w:sz w:val="20"/>
              </w:rPr>
              <w:t>Target Threshold</w:t>
            </w:r>
          </w:p>
        </w:tc>
        <w:tc>
          <w:tcPr>
            <w:tcW w:type="dxa" w:w="3120"/>
            <w:shd w:fill="0C548A" w:val="clear"/>
          </w:tcPr>
          <w:p>
            <w:r>
              <w:rPr>
                <w:b/>
                <w:color w:val="FFFFFF"/>
                <w:sz w:val="20"/>
              </w:rPr>
              <w:t>Blocking?</w:t>
            </w:r>
          </w:p>
        </w:tc>
      </w:tr>
      <w:tr>
        <w:tc>
          <w:tcPr>
            <w:tcW w:type="dxa" w:w="3120"/>
          </w:tcPr>
          <w:p>
            <w:r>
              <w:rPr>
                <w:sz w:val="20"/>
              </w:rPr>
              <w:t>Primary key completeness</w:t>
            </w:r>
          </w:p>
        </w:tc>
        <w:tc>
          <w:tcPr>
            <w:tcW w:type="dxa" w:w="3120"/>
          </w:tcPr>
          <w:p>
            <w:r>
              <w:rPr>
                <w:sz w:val="20"/>
              </w:rPr>
              <w:t>&gt; 90%</w:t>
            </w:r>
          </w:p>
        </w:tc>
        <w:tc>
          <w:tcPr>
            <w:tcW w:type="dxa" w:w="3120"/>
          </w:tcPr>
          <w:p>
            <w:r>
              <w:rPr>
                <w:sz w:val="20"/>
              </w:rPr>
              <w:t>Yes — migration blocked</w:t>
            </w:r>
          </w:p>
        </w:tc>
      </w:tr>
      <w:tr>
        <w:tc>
          <w:tcPr>
            <w:tcW w:type="dxa" w:w="3120"/>
            <w:shd w:fill="F4F6FA" w:val="clear"/>
          </w:tcPr>
          <w:p>
            <w:r>
              <w:rPr>
                <w:sz w:val="20"/>
              </w:rPr>
              <w:t>Email format validity</w:t>
            </w:r>
          </w:p>
        </w:tc>
        <w:tc>
          <w:tcPr>
            <w:tcW w:type="dxa" w:w="3120"/>
            <w:shd w:fill="F4F6FA" w:val="clear"/>
          </w:tcPr>
          <w:p>
            <w:r>
              <w:rPr>
                <w:sz w:val="20"/>
              </w:rPr>
              <w:t>&gt; 85%</w:t>
            </w:r>
          </w:p>
        </w:tc>
        <w:tc>
          <w:tcPr>
            <w:tcW w:type="dxa" w:w="3120"/>
            <w:shd w:fill="F4F6FA" w:val="clear"/>
          </w:tcPr>
          <w:p>
            <w:r>
              <w:rPr>
                <w:sz w:val="20"/>
              </w:rPr>
              <w:t>No — proceed with exceptions</w:t>
            </w:r>
          </w:p>
        </w:tc>
      </w:tr>
      <w:tr>
        <w:tc>
          <w:tcPr>
            <w:tcW w:type="dxa" w:w="3120"/>
          </w:tcPr>
          <w:p>
            <w:r>
              <w:rPr>
                <w:sz w:val="20"/>
              </w:rPr>
              <w:t>Phone format validity</w:t>
            </w:r>
          </w:p>
        </w:tc>
        <w:tc>
          <w:tcPr>
            <w:tcW w:type="dxa" w:w="3120"/>
          </w:tcPr>
          <w:p>
            <w:r>
              <w:rPr>
                <w:sz w:val="20"/>
              </w:rPr>
              <w:t>&gt; 80%</w:t>
            </w:r>
          </w:p>
        </w:tc>
        <w:tc>
          <w:tcPr>
            <w:tcW w:type="dxa" w:w="3120"/>
          </w:tcPr>
          <w:p>
            <w:r>
              <w:rPr>
                <w:sz w:val="20"/>
              </w:rPr>
              <w:t>No</w:t>
            </w:r>
          </w:p>
        </w:tc>
      </w:tr>
      <w:tr>
        <w:tc>
          <w:tcPr>
            <w:tcW w:type="dxa" w:w="3120"/>
            <w:shd w:fill="F4F6FA" w:val="clear"/>
          </w:tcPr>
          <w:p>
            <w:r>
              <w:rPr>
                <w:sz w:val="20"/>
              </w:rPr>
              <w:t>Duplicate rate</w:t>
            </w:r>
          </w:p>
        </w:tc>
        <w:tc>
          <w:tcPr>
            <w:tcW w:type="dxa" w:w="3120"/>
            <w:shd w:fill="F4F6FA" w:val="clear"/>
          </w:tcPr>
          <w:p>
            <w:r>
              <w:rPr>
                <w:sz w:val="20"/>
              </w:rPr>
              <w:t>&lt; 10%</w:t>
            </w:r>
          </w:p>
        </w:tc>
        <w:tc>
          <w:tcPr>
            <w:tcW w:type="dxa" w:w="3120"/>
            <w:shd w:fill="F4F6FA" w:val="clear"/>
          </w:tcPr>
          <w:p>
            <w:r>
              <w:rPr>
                <w:sz w:val="20"/>
              </w:rPr>
              <w:t>Yes if &gt; 20%</w:t>
            </w:r>
          </w:p>
        </w:tc>
      </w:tr>
      <w:tr>
        <w:tc>
          <w:tcPr>
            <w:tcW w:type="dxa" w:w="3120"/>
          </w:tcPr>
          <w:p>
            <w:r>
              <w:rPr>
                <w:sz w:val="20"/>
              </w:rPr>
              <w:t>Address deliverability</w:t>
            </w:r>
          </w:p>
        </w:tc>
        <w:tc>
          <w:tcPr>
            <w:tcW w:type="dxa" w:w="3120"/>
          </w:tcPr>
          <w:p>
            <w:r>
              <w:rPr>
                <w:sz w:val="20"/>
              </w:rPr>
              <w:t>&gt; 70%</w:t>
            </w:r>
          </w:p>
        </w:tc>
        <w:tc>
          <w:tcPr>
            <w:tcW w:type="dxa" w:w="3120"/>
          </w:tcPr>
          <w:p>
            <w:r>
              <w:rPr>
                <w:sz w:val="20"/>
              </w:rPr>
              <w:t>No</w:t>
            </w:r>
          </w:p>
        </w:tc>
      </w:tr>
      <w:tr>
        <w:tc>
          <w:tcPr>
            <w:tcW w:type="dxa" w:w="3120"/>
            <w:shd w:fill="F4F6FA" w:val="clear"/>
          </w:tcPr>
          <w:p>
            <w:r>
              <w:rPr>
                <w:sz w:val="20"/>
              </w:rPr>
              <w:t>Critical attribute completeness</w:t>
            </w:r>
          </w:p>
        </w:tc>
        <w:tc>
          <w:tcPr>
            <w:tcW w:type="dxa" w:w="3120"/>
            <w:shd w:fill="F4F6FA" w:val="clear"/>
          </w:tcPr>
          <w:p>
            <w:r>
              <w:rPr>
                <w:sz w:val="20"/>
              </w:rPr>
              <w:t>&gt; 95%</w:t>
            </w:r>
          </w:p>
        </w:tc>
        <w:tc>
          <w:tcPr>
            <w:tcW w:type="dxa" w:w="3120"/>
            <w:shd w:fill="F4F6FA" w:val="clear"/>
          </w:tcPr>
          <w:p>
            <w:r>
              <w:rPr>
                <w:sz w:val="20"/>
              </w:rPr>
              <w:t>Yes — migration blocked</w:t>
            </w:r>
          </w:p>
        </w:tc>
      </w:tr>
    </w:tbl>
    <w:p/>
    <w:p>
      <w:pPr>
        <w:pStyle w:val="Heading2"/>
      </w:pPr>
      <w:r>
        <w:t>6.2 Certification Sign-Off Process</w:t>
      </w:r>
    </w:p>
    <w:p>
      <w:pPr>
        <w:pStyle w:val="ListNumber"/>
      </w:pPr>
      <w:r>
        <w:t>DQ Analyst runs readiness scorecard against final staging data</w:t>
      </w:r>
    </w:p>
    <w:p>
      <w:pPr>
        <w:pStyle w:val="ListNumber"/>
      </w:pPr>
      <w:r>
        <w:t>Results reviewed in Data Readiness Review meeting with Domain Owner and MDM Architect</w:t>
      </w:r>
    </w:p>
    <w:p>
      <w:pPr>
        <w:pStyle w:val="ListNumber"/>
      </w:pPr>
      <w:r>
        <w:t>Blocking issues must be resolved before migration date</w:t>
      </w:r>
    </w:p>
    <w:p>
      <w:pPr>
        <w:pStyle w:val="ListNumber"/>
      </w:pPr>
      <w:r>
        <w:t>Non-blocking issues documented as known exceptions in migration log</w:t>
      </w:r>
    </w:p>
    <w:p>
      <w:pPr>
        <w:pStyle w:val="ListNumber"/>
      </w:pPr>
      <w:r>
        <w:t>Domain Owner signs Data Readiness Certificate to authorize migration</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Reltio's post-migration DQ rules will catch issues that escape pre-migration cleansing. Plan stewardship capacity for the first 30 days post-migration — exception volumes peak at 2-5x steady-state levels.</w:t>
      </w:r>
    </w:p>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DQ-001: Data Quality Rules Engine</w:t>
            </w:r>
          </w:p>
        </w:tc>
        <w:tc>
          <w:tcPr>
            <w:tcW w:type="dxa" w:w="4680"/>
          </w:tcPr>
          <w:p>
            <w:r>
              <w:rPr>
                <w:sz w:val="20"/>
              </w:rPr>
              <w:t>Reltio Asset Library</w:t>
            </w:r>
          </w:p>
        </w:tc>
      </w:tr>
      <w:tr>
        <w:tc>
          <w:tcPr>
            <w:tcW w:type="dxa" w:w="4680"/>
            <w:shd w:fill="F4F6FA" w:val="clear"/>
          </w:tcPr>
          <w:p>
            <w:r>
              <w:rPr>
                <w:sz w:val="20"/>
              </w:rPr>
              <w:t>DQ-003: Quality Metrics &amp; Monitoring</w:t>
            </w:r>
          </w:p>
        </w:tc>
        <w:tc>
          <w:tcPr>
            <w:tcW w:type="dxa" w:w="4680"/>
            <w:shd w:fill="F4F6FA" w:val="clear"/>
          </w:tcPr>
          <w:p>
            <w:r>
              <w:rPr>
                <w:sz w:val="20"/>
              </w:rPr>
              <w:t>Reltio Asset Library</w:t>
            </w:r>
          </w:p>
        </w:tc>
      </w:tr>
      <w:tr>
        <w:tc>
          <w:tcPr>
            <w:tcW w:type="dxa" w:w="4680"/>
          </w:tcPr>
          <w:p>
            <w:r>
              <w:rPr>
                <w:sz w:val="20"/>
              </w:rPr>
              <w:t>SVC-003: Reltio Quick Start Program</w:t>
            </w:r>
          </w:p>
        </w:tc>
        <w:tc>
          <w:tcPr>
            <w:tcW w:type="dxa" w:w="4680"/>
          </w:tcPr>
          <w:p>
            <w:r>
              <w:rPr>
                <w:sz w:val="20"/>
              </w:rPr>
              <w:t>Reltio Asset Library</w:t>
            </w:r>
          </w:p>
        </w:tc>
      </w:tr>
      <w:tr>
        <w:tc>
          <w:tcPr>
            <w:tcW w:type="dxa" w:w="4680"/>
            <w:shd w:fill="F4F6FA" w:val="clear"/>
          </w:tcPr>
          <w:p>
            <w:r>
              <w:rPr>
                <w:sz w:val="20"/>
              </w:rPr>
              <w:t>GOV-002: Master Data Stewardship Guide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